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bookmarkStart w:id="0" w:name="_Toc399408082"/>
      <w:bookmarkStart w:id="1" w:name="_Toc398564572"/>
      <w:bookmarkStart w:id="2" w:name="_Toc18509729"/>
      <w:r>
        <w:rPr>
          <w:b/>
          <w:sz w:val="28"/>
        </w:rPr>
        <w:t xml:space="preserve">ИЗВЕЩЕНИЕ О ПРОВЕДЕНИИ </w:t>
      </w:r>
      <w:bookmarkEnd w:id="0"/>
      <w:bookmarkEnd w:id="1"/>
      <w:r>
        <w:rPr>
          <w:b/>
          <w:sz w:val="28"/>
        </w:rPr>
        <w:t>ЗАКУПКИ</w:t>
      </w:r>
      <w:bookmarkEnd w:id="2"/>
    </w:p>
    <w:p>
      <w:pPr>
        <w:rPr>
          <w:sz w:val="12"/>
          <w:szCs w:val="12"/>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
          <w:i/>
        </w:rPr>
      </w:pPr>
      <w:r>
        <w:rPr>
          <w:rFonts w:ascii="Times New Roman" w:eastAsia="Times New Roman" w:hAnsi="Times New Roman" w:cs="Times New Roman"/>
          <w:sz w:val="28"/>
          <w:szCs w:val="28"/>
          <w:lang w:eastAsia="ru-RU"/>
        </w:rPr>
        <w:t xml:space="preserve">Форма и способ процедуры закупки: </w:t>
      </w:r>
      <w:r>
        <w:rPr>
          <w:rFonts w:ascii="Times New Roman" w:hAnsi="Times New Roman" w:cs="Times New Roman"/>
          <w:sz w:val="28"/>
          <w:szCs w:val="28"/>
        </w:rPr>
        <w:t>Открытый одноэтапный запрос предложений в неэлектронной форме без предварительного квалификационного отбора.</w:t>
      </w:r>
    </w:p>
    <w:p>
      <w:pPr>
        <w:tabs>
          <w:tab w:val="left" w:pos="1134"/>
        </w:tabs>
        <w:ind w:left="709"/>
        <w:contextualSpacing/>
        <w:jc w:val="both"/>
        <w:rPr>
          <w:rFonts w:eastAsia="Calibri"/>
          <w:bCs/>
          <w:sz w:val="28"/>
          <w:szCs w:val="28"/>
          <w:lang w:eastAsia="en-US"/>
        </w:rPr>
      </w:pPr>
    </w:p>
    <w:p>
      <w:pPr>
        <w:pStyle w:val="a6"/>
        <w:numPr>
          <w:ilvl w:val="0"/>
          <w:numId w:val="3"/>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31 июля 2019 № 120).</w:t>
      </w:r>
    </w:p>
    <w:p>
      <w:pPr>
        <w:pStyle w:val="a6"/>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pPr>
        <w:pStyle w:val="a6"/>
        <w:tabs>
          <w:tab w:val="left" w:pos="0"/>
          <w:tab w:val="left" w:pos="1134"/>
        </w:tabs>
        <w:spacing w:after="0" w:line="240" w:lineRule="auto"/>
        <w:ind w:left="0" w:firstLine="709"/>
        <w:jc w:val="both"/>
        <w:rPr>
          <w:rFonts w:ascii="Times New Roman" w:eastAsia="Times New Roman" w:hAnsi="Times New Roman" w:cs="Times New Roman"/>
          <w:b/>
          <w:i/>
          <w:sz w:val="24"/>
          <w:szCs w:val="24"/>
          <w:lang w:eastAsia="ru-RU"/>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закупки: право заключения договора на оказание услуг по информационному обслуживанию в Республике Узбекистан.</w:t>
      </w:r>
    </w:p>
    <w:p>
      <w:pPr>
        <w:tabs>
          <w:tab w:val="left" w:pos="1134"/>
        </w:tabs>
        <w:ind w:left="709"/>
        <w:contextualSpacing/>
        <w:jc w:val="both"/>
        <w:rPr>
          <w:b/>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
          <w:i/>
        </w:rPr>
      </w:pPr>
      <w:r>
        <w:rPr>
          <w:rFonts w:ascii="Times New Roman" w:hAnsi="Times New Roman" w:cs="Times New Roman"/>
          <w:sz w:val="28"/>
          <w:szCs w:val="28"/>
        </w:rPr>
        <w:t>Заказчик, являющийся организатором закупки: ТОО «Росатом Центральная Азия»</w:t>
      </w:r>
    </w:p>
    <w:p>
      <w:pPr>
        <w:ind w:firstLine="709"/>
        <w:jc w:val="both"/>
        <w:rPr>
          <w:sz w:val="28"/>
          <w:szCs w:val="28"/>
        </w:rPr>
      </w:pPr>
      <w:r>
        <w:rPr>
          <w:sz w:val="28"/>
          <w:szCs w:val="28"/>
        </w:rPr>
        <w:t xml:space="preserve">Место нахождения: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ind w:firstLine="709"/>
        <w:jc w:val="both"/>
        <w:rPr>
          <w:sz w:val="28"/>
          <w:szCs w:val="28"/>
        </w:rPr>
      </w:pPr>
      <w:r>
        <w:rPr>
          <w:sz w:val="28"/>
          <w:szCs w:val="28"/>
        </w:rPr>
        <w:t xml:space="preserve">Почтовый адрес: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0"/>
          <w:tab w:val="left" w:pos="1134"/>
        </w:tabs>
        <w:ind w:firstLine="709"/>
        <w:rPr>
          <w:sz w:val="28"/>
          <w:szCs w:val="28"/>
        </w:rPr>
      </w:pPr>
      <w:r>
        <w:rPr>
          <w:sz w:val="28"/>
          <w:szCs w:val="28"/>
        </w:rPr>
        <w:t xml:space="preserve">Контактное лицо: </w:t>
      </w:r>
      <w:proofErr w:type="spellStart"/>
      <w:r>
        <w:rPr>
          <w:sz w:val="28"/>
          <w:szCs w:val="28"/>
        </w:rPr>
        <w:t>Мадина</w:t>
      </w:r>
      <w:proofErr w:type="spellEnd"/>
      <w:r>
        <w:rPr>
          <w:sz w:val="28"/>
          <w:szCs w:val="28"/>
        </w:rPr>
        <w:t xml:space="preserve"> </w:t>
      </w:r>
      <w:proofErr w:type="spellStart"/>
      <w:r>
        <w:rPr>
          <w:sz w:val="28"/>
          <w:szCs w:val="28"/>
        </w:rPr>
        <w:t>Иманалиева</w:t>
      </w:r>
      <w:proofErr w:type="spellEnd"/>
      <w:r>
        <w:rPr>
          <w:sz w:val="28"/>
          <w:szCs w:val="28"/>
        </w:rPr>
        <w:t>.</w:t>
      </w:r>
    </w:p>
    <w:p>
      <w:pPr>
        <w:tabs>
          <w:tab w:val="left" w:pos="0"/>
          <w:tab w:val="left" w:pos="1134"/>
        </w:tabs>
        <w:ind w:firstLine="709"/>
        <w:jc w:val="both"/>
        <w:rPr>
          <w:sz w:val="28"/>
          <w:szCs w:val="28"/>
        </w:rPr>
      </w:pPr>
      <w:r>
        <w:rPr>
          <w:sz w:val="28"/>
          <w:szCs w:val="28"/>
        </w:rPr>
        <w:t>Тел.: +</w:t>
      </w:r>
      <w:r>
        <w:rPr>
          <w:rFonts w:eastAsiaTheme="minorEastAsia"/>
          <w:sz w:val="28"/>
          <w:szCs w:val="28"/>
        </w:rPr>
        <w:t>7 7172 797 665</w:t>
      </w:r>
      <w:r>
        <w:rPr>
          <w:sz w:val="28"/>
          <w:szCs w:val="28"/>
        </w:rPr>
        <w:t xml:space="preserve">; </w:t>
      </w:r>
    </w:p>
    <w:p>
      <w:pPr>
        <w:tabs>
          <w:tab w:val="left" w:pos="0"/>
          <w:tab w:val="left" w:pos="1134"/>
        </w:tabs>
        <w:ind w:firstLine="709"/>
      </w:pPr>
      <w:r>
        <w:rPr>
          <w:sz w:val="28"/>
          <w:szCs w:val="28"/>
        </w:rPr>
        <w:t xml:space="preserve">Эл. почта: </w:t>
      </w:r>
      <w:hyperlink r:id="rId5" w:history="1">
        <w:r>
          <w:rPr>
            <w:rStyle w:val="a4"/>
            <w:sz w:val="28"/>
            <w:szCs w:val="28"/>
          </w:rPr>
          <w:t>international_network@rosatom.ru</w:t>
        </w:r>
      </w:hyperlink>
      <w:r>
        <w:rPr>
          <w:sz w:val="28"/>
          <w:szCs w:val="28"/>
        </w:rPr>
        <w:t>, Imanaliyeva@rosatominternational.com</w:t>
      </w:r>
    </w:p>
    <w:p>
      <w:pPr>
        <w:tabs>
          <w:tab w:val="left" w:pos="0"/>
          <w:tab w:val="left" w:pos="1134"/>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лотов: 1 (один). </w:t>
      </w:r>
    </w:p>
    <w:p>
      <w:pPr>
        <w:tabs>
          <w:tab w:val="left" w:pos="1134"/>
        </w:tabs>
        <w:ind w:firstLine="709"/>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договора: оказание услуг по информационному обслуживанию в Республике Узбекистан.</w:t>
      </w:r>
    </w:p>
    <w:p>
      <w:pPr>
        <w:tabs>
          <w:tab w:val="left" w:pos="1134"/>
        </w:tabs>
        <w:ind w:firstLine="709"/>
        <w:jc w:val="both"/>
        <w:rPr>
          <w:sz w:val="28"/>
          <w:szCs w:val="28"/>
        </w:rPr>
      </w:pPr>
      <w:r>
        <w:rPr>
          <w:sz w:val="28"/>
          <w:szCs w:val="28"/>
        </w:rPr>
        <w:t>Срок оказания услуг: в соответствии с «Техническим заданием» Тома 2 закупочной документации.</w:t>
      </w:r>
    </w:p>
    <w:p>
      <w:pPr>
        <w:tabs>
          <w:tab w:val="left" w:pos="1134"/>
        </w:tabs>
        <w:ind w:firstLine="709"/>
        <w:jc w:val="both"/>
        <w:rPr>
          <w:sz w:val="28"/>
          <w:szCs w:val="28"/>
        </w:rPr>
      </w:pPr>
      <w:r>
        <w:rPr>
          <w:sz w:val="28"/>
          <w:szCs w:val="28"/>
        </w:rPr>
        <w:t>Место оказания услуг: в соответствии с «Техническим заданием» Тома 2 закупочной документации.</w:t>
      </w:r>
    </w:p>
    <w:p>
      <w:pPr>
        <w:tabs>
          <w:tab w:val="left" w:pos="1134"/>
        </w:tabs>
        <w:ind w:firstLine="709"/>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pPr>
        <w:tabs>
          <w:tab w:val="left" w:pos="1134"/>
        </w:tabs>
        <w:ind w:firstLine="709"/>
        <w:jc w:val="both"/>
        <w:rPr>
          <w:b/>
          <w:i/>
        </w:rPr>
      </w:pPr>
      <w:r>
        <w:rPr>
          <w:sz w:val="28"/>
          <w:szCs w:val="28"/>
        </w:rPr>
        <w:t>Предложение частичного оказания услуг не допускается.</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оплаты: в соответствии с Частью 3 «Проект договора» Тома 1 закупочной документации.</w:t>
      </w:r>
    </w:p>
    <w:p>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pPr>
        <w:tabs>
          <w:tab w:val="left" w:pos="1134"/>
        </w:tabs>
        <w:ind w:firstLine="709"/>
        <w:jc w:val="both"/>
        <w:rPr>
          <w:sz w:val="28"/>
          <w:szCs w:val="28"/>
        </w:rPr>
      </w:pPr>
      <w:r>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w:t>
      </w:r>
      <w:r>
        <w:rPr>
          <w:sz w:val="28"/>
          <w:szCs w:val="28"/>
        </w:rPr>
        <w:lastRenderedPageBreak/>
        <w:t>если таковые выявлены участником в проекте договора (Часть 3 «Проект договора» Тома 1 закупочной документации).</w:t>
      </w:r>
    </w:p>
    <w:p>
      <w:pPr>
        <w:tabs>
          <w:tab w:val="left" w:pos="1134"/>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Начальная (максимальная) цена договора: </w:t>
      </w:r>
    </w:p>
    <w:p>
      <w:pPr>
        <w:pStyle w:val="a6"/>
        <w:tabs>
          <w:tab w:val="left" w:pos="0"/>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bCs/>
          <w:sz w:val="28"/>
          <w:szCs w:val="28"/>
        </w:rPr>
        <w:t>124 700 (Сто двадцать четыре тысячи семьсот) евро 00 центов, включая НДС.</w:t>
      </w:r>
    </w:p>
    <w:p>
      <w:pPr>
        <w:pStyle w:val="a6"/>
        <w:tabs>
          <w:tab w:val="left" w:pos="0"/>
          <w:tab w:val="left" w:pos="1134"/>
        </w:tabs>
        <w:spacing w:after="0" w:line="240" w:lineRule="auto"/>
        <w:ind w:left="709"/>
        <w:jc w:val="both"/>
        <w:rPr>
          <w:rFonts w:ascii="Times New Roman" w:hAnsi="Times New Roman" w:cs="Times New Roman"/>
          <w:sz w:val="28"/>
          <w:szCs w:val="28"/>
        </w:rPr>
      </w:pPr>
    </w:p>
    <w:p>
      <w:pPr>
        <w:pStyle w:val="a6"/>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Предложение участника о цене договора не должно превышать начальную (максимальную) цену договора.</w:t>
      </w:r>
    </w:p>
    <w:p>
      <w:pPr>
        <w:pStyle w:val="a6"/>
        <w:tabs>
          <w:tab w:val="left" w:pos="0"/>
          <w:tab w:val="left" w:pos="1134"/>
        </w:tabs>
        <w:spacing w:after="0" w:line="240" w:lineRule="auto"/>
        <w:ind w:left="709"/>
        <w:jc w:val="both"/>
        <w:rPr>
          <w:rFonts w:ascii="Times New Roman" w:hAnsi="Times New Roman" w:cs="Times New Roman"/>
          <w:sz w:val="28"/>
          <w:szCs w:val="28"/>
        </w:rPr>
      </w:pPr>
    </w:p>
    <w:p>
      <w:pPr>
        <w:tabs>
          <w:tab w:val="left" w:pos="1134"/>
        </w:tabs>
        <w:ind w:firstLine="709"/>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Официальный язык закупки: русский.</w:t>
      </w:r>
    </w:p>
    <w:p>
      <w:pPr>
        <w:tabs>
          <w:tab w:val="left" w:pos="1134"/>
        </w:tabs>
        <w:ind w:firstLine="709"/>
        <w:jc w:val="both"/>
        <w:rPr>
          <w:rFonts w:eastAsia="Calibri"/>
          <w:bCs/>
          <w:sz w:val="28"/>
          <w:szCs w:val="28"/>
          <w:lang w:eastAsia="en-US"/>
        </w:rPr>
      </w:pPr>
      <w:bookmarkStart w:id="3"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Валюта закупки: Евро.</w:t>
      </w:r>
    </w:p>
    <w:p>
      <w:pPr>
        <w:tabs>
          <w:tab w:val="left" w:pos="1134"/>
        </w:tabs>
        <w:ind w:firstLine="709"/>
        <w:jc w:val="both"/>
        <w:rPr>
          <w:b/>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
          <w:i/>
          <w:sz w:val="24"/>
        </w:rPr>
      </w:pPr>
      <w:r>
        <w:rPr>
          <w:rFonts w:ascii="Times New Roman" w:hAnsi="Times New Roman" w:cs="Times New Roman"/>
          <w:sz w:val="28"/>
          <w:szCs w:val="28"/>
        </w:rPr>
        <w:t>Обеспечение заявки на участие в закупке</w:t>
      </w:r>
      <w:r>
        <w:rPr>
          <w:rFonts w:ascii="Times New Roman" w:hAnsi="Times New Roman" w:cs="Times New Roman"/>
          <w:sz w:val="28"/>
        </w:rPr>
        <w:t>:</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8"/>
          <w:szCs w:val="28"/>
          <w:lang w:eastAsia="ru-RU"/>
        </w:rPr>
        <w:t>не требуется.</w:t>
      </w: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pPr>
        <w:tabs>
          <w:tab w:val="left" w:pos="1134"/>
        </w:tabs>
        <w:ind w:firstLine="709"/>
        <w:jc w:val="both"/>
        <w:rPr>
          <w:sz w:val="28"/>
          <w:szCs w:val="28"/>
        </w:rPr>
      </w:pPr>
      <w:bookmarkStart w:id="4"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4"/>
    </w:p>
    <w:p>
      <w:pPr>
        <w:tabs>
          <w:tab w:val="left" w:pos="1134"/>
        </w:tabs>
        <w:ind w:firstLine="709"/>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pPr>
        <w:tabs>
          <w:tab w:val="left" w:pos="1134"/>
        </w:tabs>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закупочной документации:</w:t>
      </w:r>
    </w:p>
    <w:p>
      <w:pPr>
        <w:tabs>
          <w:tab w:val="left" w:pos="1134"/>
        </w:tabs>
        <w:ind w:firstLine="709"/>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pPr>
        <w:tabs>
          <w:tab w:val="left" w:pos="1134"/>
        </w:tabs>
        <w:ind w:firstLine="709"/>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6" w:history="1">
        <w:r>
          <w:rPr>
            <w:rStyle w:val="a4"/>
            <w:rFonts w:eastAsia="Calibri"/>
            <w:color w:val="000000" w:themeColor="text1"/>
            <w:sz w:val="28"/>
            <w:szCs w:val="28"/>
            <w:lang w:eastAsia="en-US"/>
          </w:rPr>
          <w:t>http://zakupki.rosatom.ru</w:t>
        </w:r>
      </w:hyperlink>
      <w:r>
        <w:rPr>
          <w:spacing w:val="-6"/>
          <w:sz w:val="28"/>
          <w:szCs w:val="28"/>
        </w:rPr>
        <w:t>).</w:t>
      </w:r>
    </w:p>
    <w:p>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pPr>
        <w:tabs>
          <w:tab w:val="left" w:pos="386"/>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Возможность</w:t>
      </w:r>
      <w:r>
        <w:rPr>
          <w:rFonts w:ascii="Times New Roman" w:hAnsi="Times New Roman" w:cs="Times New Roman"/>
          <w:spacing w:val="-6"/>
          <w:sz w:val="28"/>
          <w:szCs w:val="28"/>
        </w:rPr>
        <w:t xml:space="preserve"> и условия, по которым допускается подача альтернативных предложений: </w:t>
      </w:r>
      <w:r>
        <w:rPr>
          <w:rFonts w:ascii="Times New Roman" w:hAnsi="Times New Roman" w:cs="Times New Roman"/>
          <w:sz w:val="28"/>
          <w:szCs w:val="28"/>
        </w:rPr>
        <w:t>не допускается.</w:t>
      </w: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Привлечение </w:t>
      </w:r>
      <w:r>
        <w:rPr>
          <w:rFonts w:ascii="Times New Roman" w:hAnsi="Times New Roman" w:cs="Times New Roman"/>
          <w:bCs/>
          <w:sz w:val="28"/>
          <w:szCs w:val="28"/>
        </w:rPr>
        <w:t>соисполнителей</w:t>
      </w:r>
      <w:r>
        <w:rPr>
          <w:rFonts w:ascii="Times New Roman" w:hAnsi="Times New Roman" w:cs="Times New Roman"/>
          <w:sz w:val="28"/>
          <w:szCs w:val="28"/>
        </w:rPr>
        <w:t xml:space="preserve"> (юридических или физических лиц, </w:t>
      </w:r>
      <w:r>
        <w:rPr>
          <w:rFonts w:ascii="Times New Roman" w:hAnsi="Times New Roman" w:cs="Times New Roman"/>
          <w:bCs/>
          <w:sz w:val="28"/>
          <w:szCs w:val="28"/>
        </w:rPr>
        <w:t>оказывающих</w:t>
      </w:r>
      <w:r>
        <w:rPr>
          <w:rFonts w:ascii="Times New Roman" w:hAnsi="Times New Roman" w:cs="Times New Roman"/>
          <w:sz w:val="28"/>
          <w:szCs w:val="28"/>
        </w:rPr>
        <w:t xml:space="preserve"> часть </w:t>
      </w:r>
      <w:r>
        <w:rPr>
          <w:rFonts w:ascii="Times New Roman" w:hAnsi="Times New Roman" w:cs="Times New Roman"/>
          <w:bCs/>
          <w:sz w:val="28"/>
          <w:szCs w:val="28"/>
        </w:rPr>
        <w:t>услуг</w:t>
      </w:r>
      <w:r>
        <w:rPr>
          <w:rFonts w:ascii="Times New Roman" w:hAnsi="Times New Roman" w:cs="Times New Roman"/>
          <w:sz w:val="28"/>
          <w:szCs w:val="28"/>
        </w:rPr>
        <w:t xml:space="preserve"> по договору): </w:t>
      </w:r>
      <w:r>
        <w:rPr>
          <w:rFonts w:ascii="Times New Roman" w:eastAsia="Times New Roman" w:hAnsi="Times New Roman" w:cs="Times New Roman"/>
          <w:sz w:val="28"/>
          <w:szCs w:val="28"/>
          <w:lang w:eastAsia="ru-RU"/>
        </w:rPr>
        <w:t>допускается.</w:t>
      </w:r>
    </w:p>
    <w:p>
      <w:pPr>
        <w:tabs>
          <w:tab w:val="left" w:pos="1134"/>
        </w:tabs>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pPr>
        <w:tabs>
          <w:tab w:val="left" w:pos="1134"/>
        </w:tabs>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Times12"/>
        <w:tabs>
          <w:tab w:val="left" w:pos="70"/>
        </w:tabs>
        <w:ind w:right="153" w:firstLine="0"/>
        <w:jc w:val="left"/>
        <w:rPr>
          <w:rFonts w:eastAsia="Calibri"/>
          <w:b/>
          <w:bCs w:val="0"/>
          <w:i/>
          <w:szCs w:val="24"/>
          <w:lang w:eastAsia="en-US"/>
        </w:rPr>
      </w:pPr>
    </w:p>
    <w:p>
      <w:pPr>
        <w:pStyle w:val="a6"/>
        <w:numPr>
          <w:ilvl w:val="0"/>
          <w:numId w:val="3"/>
        </w:numPr>
        <w:tabs>
          <w:tab w:val="left" w:pos="0"/>
          <w:tab w:val="left" w:pos="709"/>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bCs/>
          <w:sz w:val="28"/>
          <w:szCs w:val="28"/>
        </w:rPr>
        <w:t>Возможность проведения переговоров: возможны.</w:t>
      </w:r>
    </w:p>
    <w:p>
      <w:pPr>
        <w:pStyle w:val="a6"/>
        <w:tabs>
          <w:tab w:val="left" w:pos="0"/>
          <w:tab w:val="left" w:pos="709"/>
        </w:tabs>
        <w:spacing w:after="0" w:line="240" w:lineRule="auto"/>
        <w:ind w:left="709"/>
        <w:jc w:val="both"/>
        <w:rPr>
          <w:rFonts w:ascii="Times New Roman" w:hAnsi="Times New Roman" w:cs="Times New Roman"/>
          <w:spacing w:val="-6"/>
          <w:sz w:val="28"/>
          <w:szCs w:val="28"/>
        </w:rPr>
      </w:pPr>
    </w:p>
    <w:p>
      <w:pPr>
        <w:pStyle w:val="a6"/>
        <w:numPr>
          <w:ilvl w:val="0"/>
          <w:numId w:val="3"/>
        </w:numPr>
        <w:tabs>
          <w:tab w:val="left" w:pos="0"/>
          <w:tab w:val="left" w:pos="709"/>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Возможность</w:t>
      </w:r>
      <w:r>
        <w:rPr>
          <w:rFonts w:ascii="Times New Roman" w:hAnsi="Times New Roman" w:cs="Times New Roman"/>
          <w:spacing w:val="-6"/>
          <w:sz w:val="28"/>
          <w:szCs w:val="28"/>
        </w:rPr>
        <w:t xml:space="preserve"> проведения процедуры переторжки: </w:t>
      </w:r>
      <w:r>
        <w:rPr>
          <w:rFonts w:ascii="Times New Roman" w:hAnsi="Times New Roman" w:cs="Times New Roman"/>
          <w:sz w:val="28"/>
          <w:szCs w:val="28"/>
        </w:rPr>
        <w:t>возможна по снижению первоначально указанной в заявке на участие в закупке цены.</w:t>
      </w: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pPr>
        <w:tabs>
          <w:tab w:val="left" w:pos="1134"/>
        </w:tabs>
        <w:ind w:firstLine="709"/>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xml:space="preserve">: «09» октября 2019 года. </w:t>
      </w:r>
    </w:p>
    <w:p>
      <w:pPr>
        <w:tabs>
          <w:tab w:val="left" w:pos="1134"/>
        </w:tabs>
        <w:ind w:firstLine="709"/>
        <w:jc w:val="both"/>
        <w:rPr>
          <w:spacing w:val="-6"/>
          <w:sz w:val="28"/>
          <w:szCs w:val="28"/>
        </w:rPr>
      </w:pPr>
      <w:r>
        <w:rPr>
          <w:bCs/>
          <w:spacing w:val="-6"/>
          <w:sz w:val="28"/>
          <w:szCs w:val="28"/>
        </w:rPr>
        <w:t xml:space="preserve">Дата и время окончания срока </w:t>
      </w:r>
      <w:r>
        <w:rPr>
          <w:spacing w:val="-6"/>
          <w:sz w:val="28"/>
          <w:szCs w:val="28"/>
        </w:rPr>
        <w:t>подачи заявок на участие в закупке</w:t>
      </w:r>
      <w:r>
        <w:rPr>
          <w:bCs/>
          <w:spacing w:val="-6"/>
          <w:sz w:val="28"/>
          <w:szCs w:val="28"/>
        </w:rPr>
        <w:t xml:space="preserve">: </w:t>
      </w:r>
      <w:r>
        <w:rPr>
          <w:spacing w:val="-6"/>
          <w:sz w:val="28"/>
          <w:szCs w:val="28"/>
        </w:rPr>
        <w:t>13-00 (время местное) (10-00 московского времени) «21» ок</w:t>
      </w:r>
      <w:r>
        <w:rPr>
          <w:bCs/>
          <w:spacing w:val="-6"/>
          <w:sz w:val="28"/>
          <w:szCs w:val="28"/>
        </w:rPr>
        <w:t>тября</w:t>
      </w:r>
      <w:r>
        <w:rPr>
          <w:spacing w:val="-6"/>
          <w:sz w:val="28"/>
          <w:szCs w:val="28"/>
        </w:rPr>
        <w:t xml:space="preserve"> 2019 года. </w:t>
      </w:r>
    </w:p>
    <w:p>
      <w:pPr>
        <w:tabs>
          <w:tab w:val="left" w:pos="1134"/>
        </w:tabs>
        <w:ind w:firstLine="709"/>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1134"/>
        </w:tabs>
        <w:ind w:firstLine="709"/>
        <w:jc w:val="both"/>
        <w:rPr>
          <w:spacing w:val="-6"/>
          <w:sz w:val="28"/>
          <w:szCs w:val="28"/>
        </w:rPr>
      </w:pPr>
    </w:p>
    <w:p>
      <w:pPr>
        <w:tabs>
          <w:tab w:val="left" w:pos="1134"/>
        </w:tabs>
        <w:ind w:firstLine="709"/>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xml:space="preserve">, д. 2, </w:t>
      </w:r>
      <w:r>
        <w:rPr>
          <w:spacing w:val="-6"/>
          <w:sz w:val="28"/>
          <w:szCs w:val="28"/>
        </w:rPr>
        <w:t>13-00 (время местное) (10-00 московского времени) «21» ок</w:t>
      </w:r>
      <w:r>
        <w:rPr>
          <w:bCs/>
          <w:spacing w:val="-6"/>
          <w:sz w:val="28"/>
          <w:szCs w:val="28"/>
        </w:rPr>
        <w:t>тября</w:t>
      </w:r>
      <w:r>
        <w:rPr>
          <w:spacing w:val="-6"/>
          <w:sz w:val="28"/>
          <w:szCs w:val="28"/>
        </w:rPr>
        <w:t xml:space="preserve"> 2019 года.</w:t>
      </w:r>
    </w:p>
    <w:p>
      <w:pPr>
        <w:tabs>
          <w:tab w:val="left" w:pos="1134"/>
        </w:tabs>
        <w:ind w:left="709"/>
        <w:contextualSpacing/>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Место и </w:t>
      </w:r>
      <w:r>
        <w:rPr>
          <w:rFonts w:ascii="Times New Roman" w:hAnsi="Times New Roman" w:cs="Times New Roman"/>
          <w:sz w:val="28"/>
          <w:szCs w:val="28"/>
        </w:rPr>
        <w:t>дата</w:t>
      </w:r>
      <w:r>
        <w:rPr>
          <w:rFonts w:ascii="Times New Roman" w:hAnsi="Times New Roman" w:cs="Times New Roman"/>
          <w:spacing w:val="-6"/>
          <w:sz w:val="28"/>
          <w:szCs w:val="28"/>
        </w:rPr>
        <w:t xml:space="preserve"> рассмотрения заявок и подведения итогов закупки: </w:t>
      </w:r>
    </w:p>
    <w:p>
      <w:pPr>
        <w:tabs>
          <w:tab w:val="left" w:pos="1134"/>
        </w:tabs>
        <w:ind w:firstLine="709"/>
        <w:jc w:val="both"/>
        <w:rPr>
          <w:b/>
          <w:i/>
        </w:rPr>
      </w:pPr>
    </w:p>
    <w:p>
      <w:pPr>
        <w:tabs>
          <w:tab w:val="left" w:pos="1134"/>
        </w:tabs>
        <w:ind w:firstLine="709"/>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«30» ок</w:t>
      </w:r>
      <w:r>
        <w:rPr>
          <w:bCs/>
          <w:spacing w:val="-6"/>
          <w:sz w:val="28"/>
          <w:szCs w:val="28"/>
        </w:rPr>
        <w:t>тября</w:t>
      </w:r>
      <w:r>
        <w:rPr>
          <w:spacing w:val="-6"/>
          <w:sz w:val="28"/>
          <w:szCs w:val="28"/>
        </w:rPr>
        <w:t xml:space="preserve"> </w:t>
      </w:r>
      <w:r>
        <w:rPr>
          <w:sz w:val="28"/>
          <w:szCs w:val="28"/>
        </w:rPr>
        <w:t>2019 г.</w:t>
      </w:r>
    </w:p>
    <w:p>
      <w:pPr>
        <w:tabs>
          <w:tab w:val="left" w:pos="1134"/>
        </w:tabs>
        <w:ind w:firstLine="709"/>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Астана,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«31» октября</w:t>
      </w:r>
      <w:r>
        <w:rPr>
          <w:bCs/>
          <w:spacing w:val="-6"/>
          <w:sz w:val="28"/>
          <w:szCs w:val="28"/>
        </w:rPr>
        <w:t xml:space="preserve"> </w:t>
      </w:r>
      <w:r>
        <w:rPr>
          <w:sz w:val="28"/>
          <w:szCs w:val="28"/>
        </w:rPr>
        <w:t>2019 г.</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pacing w:val="-6"/>
          <w:sz w:val="32"/>
          <w:szCs w:val="28"/>
        </w:rPr>
      </w:pPr>
      <w:r>
        <w:rPr>
          <w:rFonts w:ascii="Times New Roman" w:hAnsi="Times New Roman" w:cs="Times New Roman"/>
          <w:spacing w:val="-6"/>
          <w:sz w:val="28"/>
          <w:szCs w:val="28"/>
        </w:rPr>
        <w:t xml:space="preserve">Срок </w:t>
      </w:r>
      <w:r>
        <w:rPr>
          <w:rFonts w:ascii="Times New Roman" w:hAnsi="Times New Roman" w:cs="Times New Roman"/>
          <w:sz w:val="28"/>
          <w:szCs w:val="28"/>
        </w:rPr>
        <w:t>заключения</w:t>
      </w:r>
      <w:r>
        <w:rPr>
          <w:rFonts w:ascii="Times New Roman" w:hAnsi="Times New Roman" w:cs="Times New Roman"/>
          <w:spacing w:val="-6"/>
          <w:sz w:val="28"/>
          <w:szCs w:val="28"/>
        </w:rPr>
        <w:t xml:space="preserve"> договора: </w:t>
      </w:r>
      <w:r>
        <w:rPr>
          <w:rFonts w:ascii="Times New Roman" w:hAnsi="Times New Roman" w:cs="Times New Roman"/>
          <w:sz w:val="28"/>
        </w:rPr>
        <w:t>в течение </w:t>
      </w:r>
      <w:r>
        <w:rPr>
          <w:rFonts w:ascii="Times New Roman" w:hAnsi="Times New Roman" w:cs="Times New Roman"/>
          <w:sz w:val="28"/>
          <w:szCs w:val="28"/>
        </w:rPr>
        <w:t>20 (двадцати)</w:t>
      </w:r>
      <w:r>
        <w:rPr>
          <w:rFonts w:ascii="Times New Roman" w:hAnsi="Times New Roman" w:cs="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pPr>
        <w:tabs>
          <w:tab w:val="left" w:pos="1134"/>
        </w:tabs>
        <w:ind w:firstLine="709"/>
        <w:jc w:val="both"/>
        <w:rPr>
          <w:sz w:val="28"/>
        </w:rPr>
      </w:pPr>
      <w:r>
        <w:rPr>
          <w:sz w:val="28"/>
        </w:rPr>
        <w:lastRenderedPageBreak/>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pPr>
        <w:tabs>
          <w:tab w:val="left" w:pos="1134"/>
        </w:tabs>
        <w:ind w:firstLine="709"/>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pPr>
        <w:tabs>
          <w:tab w:val="left" w:pos="1134"/>
        </w:tabs>
        <w:ind w:firstLine="709"/>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pPr>
        <w:tabs>
          <w:tab w:val="left" w:pos="1134"/>
        </w:tabs>
        <w:ind w:firstLine="709"/>
        <w:jc w:val="both"/>
        <w:rPr>
          <w:sz w:val="28"/>
        </w:rPr>
      </w:pPr>
    </w:p>
    <w:p>
      <w:pPr>
        <w:tabs>
          <w:tab w:val="left" w:pos="1134"/>
        </w:tabs>
        <w:ind w:firstLine="709"/>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pPr>
        <w:tabs>
          <w:tab w:val="left" w:pos="1134"/>
        </w:tabs>
        <w:ind w:firstLine="709"/>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pPr>
        <w:tabs>
          <w:tab w:val="left" w:pos="1134"/>
        </w:tabs>
        <w:ind w:firstLine="709"/>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pPr>
        <w:tabs>
          <w:tab w:val="left" w:pos="1134"/>
        </w:tabs>
        <w:ind w:left="709"/>
        <w:contextualSpacing/>
        <w:jc w:val="both"/>
        <w:rPr>
          <w:spacing w:val="-6"/>
          <w:sz w:val="32"/>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Обеспечение</w:t>
      </w:r>
      <w:r>
        <w:rPr>
          <w:rFonts w:ascii="Times New Roman" w:hAnsi="Times New Roman" w:cs="Times New Roman"/>
          <w:spacing w:val="-6"/>
          <w:sz w:val="28"/>
          <w:szCs w:val="28"/>
        </w:rPr>
        <w:t xml:space="preserve"> исполнения обязательств по договору: не требуется.</w:t>
      </w:r>
    </w:p>
    <w:p>
      <w:pPr>
        <w:tabs>
          <w:tab w:val="left" w:pos="1134"/>
        </w:tabs>
        <w:ind w:left="709"/>
        <w:contextualSpacing/>
        <w:jc w:val="both"/>
        <w:rPr>
          <w:rFonts w:eastAsia="Calibri"/>
          <w:spacing w:val="-6"/>
          <w:sz w:val="28"/>
          <w:szCs w:val="28"/>
          <w:lang w:eastAsia="en-US"/>
        </w:rPr>
      </w:pPr>
    </w:p>
    <w:p>
      <w:pPr>
        <w:numPr>
          <w:ilvl w:val="0"/>
          <w:numId w:val="3"/>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pPr>
        <w:tabs>
          <w:tab w:val="left" w:pos="0"/>
          <w:tab w:val="left" w:pos="1134"/>
        </w:tabs>
        <w:ind w:left="709"/>
        <w:contextualSpacing/>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Отмена закупки по решению заказчика </w:t>
      </w:r>
      <w:r>
        <w:rPr>
          <w:rFonts w:ascii="Times New Roman" w:hAnsi="Times New Roman" w:cs="Times New Roman"/>
          <w:bCs/>
          <w:sz w:val="28"/>
          <w:szCs w:val="28"/>
        </w:rPr>
        <w:t>в любое время вплоть до подведения итогов закупки</w:t>
      </w:r>
      <w:r>
        <w:rPr>
          <w:rFonts w:ascii="Times New Roman" w:hAnsi="Times New Roman" w:cs="Times New Roman"/>
          <w:sz w:val="28"/>
          <w:szCs w:val="28"/>
        </w:rPr>
        <w:t xml:space="preserve"> не приводит к каким-либо последствиям в следующих случаях:</w:t>
      </w:r>
    </w:p>
    <w:p>
      <w:pPr>
        <w:numPr>
          <w:ilvl w:val="0"/>
          <w:numId w:val="4"/>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pPr>
        <w:numPr>
          <w:ilvl w:val="0"/>
          <w:numId w:val="4"/>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pPr>
        <w:numPr>
          <w:ilvl w:val="0"/>
          <w:numId w:val="4"/>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pPr>
        <w:numPr>
          <w:ilvl w:val="0"/>
          <w:numId w:val="4"/>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pPr>
        <w:numPr>
          <w:ilvl w:val="0"/>
          <w:numId w:val="4"/>
        </w:numPr>
        <w:tabs>
          <w:tab w:val="left" w:pos="0"/>
        </w:tabs>
        <w:ind w:left="0" w:firstLine="709"/>
        <w:jc w:val="both"/>
        <w:rPr>
          <w:bCs/>
          <w:sz w:val="28"/>
          <w:szCs w:val="28"/>
        </w:rPr>
      </w:pPr>
      <w:r>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pPr>
        <w:tabs>
          <w:tab w:val="left" w:pos="1134"/>
        </w:tabs>
        <w:ind w:left="142" w:firstLine="567"/>
        <w:contextualSpacing/>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pStyle w:val="a6"/>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Центральный арбитражный комитет (ЦАК) Госкорпорации «Росатом» - </w:t>
      </w:r>
      <w:hyperlink r:id="rId7" w:history="1">
        <w:r>
          <w:rPr>
            <w:rStyle w:val="a4"/>
            <w:rFonts w:ascii="Times New Roman" w:hAnsi="Times New Roman" w:cs="Times New Roman"/>
            <w:sz w:val="28"/>
            <w:szCs w:val="28"/>
          </w:rPr>
          <w:t>arbitration@rosatom.ru</w:t>
        </w:r>
      </w:hyperlink>
      <w:r>
        <w:rPr>
          <w:rFonts w:ascii="Times New Roman" w:hAnsi="Times New Roman" w:cs="Times New Roman"/>
          <w:sz w:val="28"/>
          <w:szCs w:val="28"/>
        </w:rPr>
        <w:t>.</w:t>
      </w:r>
    </w:p>
    <w:p>
      <w:bookmarkStart w:id="5" w:name="_GoBack"/>
      <w:bookmarkEnd w:id="5"/>
    </w:p>
    <w:sectPr>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 w15:restartNumberingAfterBreak="0">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2BD2-3D9B-4A42-9F39-3A8D4B17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pPr>
      <w:keepNext/>
      <w:numPr>
        <w:ilvl w:val="1"/>
        <w:numId w:val="1"/>
      </w:numPr>
      <w:spacing w:before="240" w:after="60"/>
      <w:outlineLvl w:val="1"/>
    </w:pPr>
    <w:rPr>
      <w:rFonts w:ascii="Arial" w:hAnsi="Arial" w:cs="Arial"/>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Pr>
      <w:rFonts w:ascii="Arial" w:eastAsia="Times New Roman" w:hAnsi="Arial" w:cs="Arial"/>
      <w:i/>
      <w:iCs/>
      <w:sz w:val="28"/>
      <w:szCs w:val="28"/>
      <w:lang w:eastAsia="ru-RU"/>
    </w:rPr>
  </w:style>
  <w:style w:type="character" w:styleId="a4">
    <w:name w:val="Hyperlink"/>
    <w:uiPriority w:val="99"/>
    <w:semiHidden/>
    <w:unhideWhenUsed/>
    <w:rPr>
      <w:color w:val="0000FF"/>
      <w:u w:val="single"/>
    </w:rPr>
  </w:style>
  <w:style w:type="character" w:customStyle="1" w:styleId="a5">
    <w:name w:val="Абзац списка Знак"/>
    <w:aliases w:val="Заголовок_3 Знак,Подпись рисунка Знак,ПКФ Список Знак,Абзац списка5 Знак,таблица Знак"/>
    <w:link w:val="a6"/>
    <w:uiPriority w:val="34"/>
    <w:locked/>
    <w:rPr>
      <w:rFonts w:ascii="Calibri" w:eastAsia="Calibri" w:hAnsi="Calibri"/>
    </w:rPr>
  </w:style>
  <w:style w:type="paragraph" w:styleId="a6">
    <w:name w:val="List Paragraph"/>
    <w:aliases w:val="Заголовок_3,Подпись рисунка,ПКФ Список,Абзац списка5,таблица"/>
    <w:basedOn w:val="a0"/>
    <w:link w:val="a5"/>
    <w:uiPriority w:val="34"/>
    <w:qFormat/>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pPr>
      <w:numPr>
        <w:ilvl w:val="2"/>
        <w:numId w:val="1"/>
      </w:numPr>
      <w:snapToGrid w:val="0"/>
      <w:spacing w:line="360" w:lineRule="auto"/>
      <w:jc w:val="both"/>
    </w:pPr>
    <w:rPr>
      <w:sz w:val="28"/>
      <w:szCs w:val="28"/>
    </w:rPr>
  </w:style>
  <w:style w:type="paragraph" w:customStyle="1" w:styleId="Times12">
    <w:name w:val="Times 12"/>
    <w:basedOn w:val="a0"/>
    <w:qFormat/>
    <w:pPr>
      <w:overflowPunct w:val="0"/>
      <w:autoSpaceDE w:val="0"/>
      <w:autoSpaceDN w:val="0"/>
      <w:adjustRightInd w:val="0"/>
      <w:ind w:firstLine="567"/>
      <w:jc w:val="both"/>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Rosatom</cp:lastModifiedBy>
  <cp:revision>2</cp:revision>
  <dcterms:created xsi:type="dcterms:W3CDTF">2019-10-09T12:10:00Z</dcterms:created>
  <dcterms:modified xsi:type="dcterms:W3CDTF">2019-10-09T12:11:00Z</dcterms:modified>
</cp:coreProperties>
</file>